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C4" w:rsidRDefault="00EF42C4" w:rsidP="00EF42C4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Annexure to Sub No</w:t>
      </w:r>
      <w:proofErr w:type="gramStart"/>
      <w:r>
        <w:rPr>
          <w:rFonts w:ascii="Verdana" w:hAnsi="Verdana"/>
          <w:b/>
        </w:rPr>
        <w:t>:20</w:t>
      </w:r>
      <w:proofErr w:type="gramEnd"/>
    </w:p>
    <w:p w:rsidR="00B82DC3" w:rsidRPr="00F752CA" w:rsidRDefault="00B82DC3" w:rsidP="00B82DC3">
      <w:pPr>
        <w:jc w:val="both"/>
        <w:rPr>
          <w:rFonts w:ascii="Verdana" w:hAnsi="Verdana"/>
        </w:rPr>
      </w:pPr>
      <w:r w:rsidRPr="00F752CA">
        <w:rPr>
          <w:rFonts w:ascii="Verdana" w:hAnsi="Verdana"/>
          <w:b/>
        </w:rPr>
        <w:t xml:space="preserve">Terms &amp; conditions for Regular </w:t>
      </w:r>
      <w:r>
        <w:rPr>
          <w:rFonts w:ascii="Verdana" w:hAnsi="Verdana"/>
          <w:b/>
        </w:rPr>
        <w:t>S</w:t>
      </w:r>
      <w:r w:rsidRPr="00F752CA">
        <w:rPr>
          <w:rFonts w:ascii="Verdana" w:hAnsi="Verdana"/>
          <w:b/>
        </w:rPr>
        <w:t xml:space="preserve">taff </w:t>
      </w:r>
      <w:r w:rsidR="001454AA">
        <w:rPr>
          <w:rFonts w:ascii="Verdana" w:hAnsi="Verdana"/>
          <w:b/>
        </w:rPr>
        <w:t>for Rs.2.00</w:t>
      </w:r>
      <w:r w:rsidRPr="00F752CA">
        <w:rPr>
          <w:rFonts w:ascii="Verdana" w:hAnsi="Verdana"/>
          <w:b/>
        </w:rPr>
        <w:t xml:space="preserve"> Lakh coverage</w:t>
      </w:r>
      <w:r w:rsidRPr="00F752CA">
        <w:rPr>
          <w:rFonts w:ascii="Verdana" w:hAnsi="Verdana"/>
        </w:rPr>
        <w:t>:</w:t>
      </w:r>
    </w:p>
    <w:tbl>
      <w:tblPr>
        <w:tblStyle w:val="TableGrid"/>
        <w:tblW w:w="9351" w:type="dxa"/>
        <w:tblLook w:val="04A0"/>
      </w:tblPr>
      <w:tblGrid>
        <w:gridCol w:w="675"/>
        <w:gridCol w:w="8676"/>
      </w:tblGrid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1.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Coverage of pre-existing disease.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2.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30 day waiting period to be waived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3.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Waiver of first year exclusions.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4.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Choice to be given in choosing TPA.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5.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Pre hospitalization &amp; post hospitalization for 30 &amp; 60 days respectively.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6.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Room rent and boarding expenses not exceeding Rs.5000/- per day or the actual amount whichever is less and not exceeding Rs.7500/-per day for ICU (as per IBA).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7.</w:t>
            </w:r>
          </w:p>
        </w:tc>
        <w:tc>
          <w:tcPr>
            <w:tcW w:w="8676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 xml:space="preserve">Family definition: </w:t>
            </w:r>
          </w:p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 xml:space="preserve">For regular staff: Self, spouse &amp; 2 children </w:t>
            </w:r>
            <w:r>
              <w:rPr>
                <w:rFonts w:ascii="Verdana" w:hAnsi="Verdana"/>
              </w:rPr>
              <w:t>(Up to 25 years Age)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8.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Age band:</w:t>
            </w:r>
            <w:r>
              <w:rPr>
                <w:rFonts w:ascii="Verdana" w:hAnsi="Verdana"/>
              </w:rPr>
              <w:t>60</w:t>
            </w:r>
            <w:r w:rsidRPr="00F752CA">
              <w:rPr>
                <w:rFonts w:ascii="Verdana" w:hAnsi="Verdana"/>
              </w:rPr>
              <w:t xml:space="preserve"> years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9.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Addition &amp; deletion of lives; premium to be charged on pro-data basis.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10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Ambulance charges up to Rs.2500/- per trip to hospital and/or transfer to another hospital or transfer from hospital to</w:t>
            </w:r>
            <w:r>
              <w:rPr>
                <w:rFonts w:ascii="Verdana" w:hAnsi="Verdana"/>
              </w:rPr>
              <w:t xml:space="preserve"> home if medically advised. Taxi</w:t>
            </w:r>
            <w:r w:rsidRPr="00F752CA">
              <w:rPr>
                <w:rFonts w:ascii="Verdana" w:hAnsi="Verdana"/>
              </w:rPr>
              <w:t xml:space="preserve"> and auto expenses in actual max up to Rs.750/- per trip will also be reimbursable (as per IBA).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11.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No sub limits on diseases.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12.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Day care procedures are to be covered.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13.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No co-payment.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14.</w:t>
            </w:r>
          </w:p>
        </w:tc>
        <w:tc>
          <w:tcPr>
            <w:tcW w:w="8676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Maternity expenses with new born baby from day 1 onwards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 xml:space="preserve">Normal delivery up to Rs.50,000/- </w:t>
            </w:r>
          </w:p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 xml:space="preserve">For caesarean up to Rs.75,000/- 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15.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Oral Health care/Dental care expenses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  <w:tr w:rsidR="00B82DC3" w:rsidRPr="00F752CA" w:rsidTr="0033634B">
        <w:tc>
          <w:tcPr>
            <w:tcW w:w="675" w:type="dxa"/>
          </w:tcPr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16.</w:t>
            </w:r>
          </w:p>
        </w:tc>
        <w:tc>
          <w:tcPr>
            <w:tcW w:w="8676" w:type="dxa"/>
          </w:tcPr>
          <w:p w:rsidR="00B82DC3" w:rsidRDefault="00B82DC3" w:rsidP="0033634B">
            <w:pPr>
              <w:jc w:val="both"/>
              <w:rPr>
                <w:rFonts w:ascii="Verdana" w:hAnsi="Verdana"/>
              </w:rPr>
            </w:pPr>
            <w:r w:rsidRPr="00F752CA">
              <w:rPr>
                <w:rFonts w:ascii="Verdana" w:hAnsi="Verdana"/>
              </w:rPr>
              <w:t>Cashless treatment/Reimbursement of expenses for treatment of Diabetes and Constitutional Diseases under Naturopathy, Homeopathy, Ayurveda and Unani</w:t>
            </w:r>
          </w:p>
          <w:p w:rsidR="00B82DC3" w:rsidRPr="00F752CA" w:rsidRDefault="00B82DC3" w:rsidP="0033634B">
            <w:pPr>
              <w:jc w:val="both"/>
              <w:rPr>
                <w:rFonts w:ascii="Verdana" w:hAnsi="Verdana"/>
              </w:rPr>
            </w:pPr>
          </w:p>
        </w:tc>
      </w:tr>
    </w:tbl>
    <w:p w:rsidR="00B82DC3" w:rsidRDefault="00B82DC3" w:rsidP="00B82DC3">
      <w:pPr>
        <w:jc w:val="both"/>
        <w:rPr>
          <w:rFonts w:ascii="Verdana" w:hAnsi="Verdana"/>
          <w:b/>
        </w:rPr>
      </w:pPr>
    </w:p>
    <w:p w:rsidR="001A6BEB" w:rsidRDefault="001A6BEB"/>
    <w:sectPr w:rsidR="001A6BEB" w:rsidSect="00BD2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2DC3"/>
    <w:rsid w:val="000D5563"/>
    <w:rsid w:val="001454AA"/>
    <w:rsid w:val="001A6BEB"/>
    <w:rsid w:val="005026CF"/>
    <w:rsid w:val="00522F6A"/>
    <w:rsid w:val="00B82DC3"/>
    <w:rsid w:val="00BD2F2B"/>
    <w:rsid w:val="00D26C40"/>
    <w:rsid w:val="00EF42C4"/>
    <w:rsid w:val="00F0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DC3"/>
    <w:pPr>
      <w:spacing w:after="0" w:line="240" w:lineRule="auto"/>
    </w:pPr>
    <w:rPr>
      <w:rFonts w:eastAsiaTheme="minorHAnsi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KDCCB HRD</dc:creator>
  <cp:lastModifiedBy>Kadapa DCCB</cp:lastModifiedBy>
  <cp:revision>5</cp:revision>
  <cp:lastPrinted>2023-05-18T10:32:00Z</cp:lastPrinted>
  <dcterms:created xsi:type="dcterms:W3CDTF">2023-05-16T10:09:00Z</dcterms:created>
  <dcterms:modified xsi:type="dcterms:W3CDTF">2023-05-18T10:48:00Z</dcterms:modified>
</cp:coreProperties>
</file>